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75582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E37C90">
        <w:rPr>
          <w:rFonts w:ascii="Times New Roman" w:hAnsi="Times New Roman" w:cs="Times New Roman"/>
          <w:sz w:val="24"/>
          <w:szCs w:val="24"/>
        </w:rPr>
        <w:t>3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Срок поставки ________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предлагаемый товар составляет _________________ месяцев с даты поставки товара на склад ОАО «Гродненский мясокомбинат»,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. Гродно, ул. Мясницкая, 25.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AE5E17" w:rsidRPr="00AE5E17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AE5E17" w:rsidRPr="00AE5E17">
        <w:rPr>
          <w:rFonts w:ascii="Times New Roman" w:hAnsi="Times New Roman" w:cs="Times New Roman"/>
          <w:b/>
          <w:sz w:val="24"/>
          <w:szCs w:val="24"/>
        </w:rPr>
        <w:t>. Соотв. (для привязки к евро и последующим расчетом по курсу НБРБ)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9ECAD-8F28-4795-9C09-2C9B36C4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2019-01-29T07:34:00Z</dcterms:created>
  <dcterms:modified xsi:type="dcterms:W3CDTF">2023-01-03T06:17:00Z</dcterms:modified>
</cp:coreProperties>
</file>